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</w:t>
      </w:r>
      <w:proofErr w:type="gramStart"/>
      <w:r w:rsidRPr="003E322D">
        <w:rPr>
          <w:rFonts w:ascii="Times New Roman" w:hAnsi="Times New Roman" w:cs="Times New Roman"/>
          <w:b/>
          <w:sz w:val="23"/>
          <w:szCs w:val="23"/>
        </w:rPr>
        <w:t>:</w:t>
      </w:r>
      <w:r w:rsidRPr="003E322D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 xml:space="preserve">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sz w:val="23"/>
          <w:szCs w:val="23"/>
        </w:rPr>
        <w:t>Министерство земельных и имущественных отношений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>, д. 1б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667011, 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д. 1б,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каб</w:t>
      </w:r>
      <w:proofErr w:type="spellEnd"/>
      <w:r>
        <w:rPr>
          <w:rFonts w:ascii="Times New Roman" w:hAnsi="Times New Roman" w:cs="Times New Roman"/>
          <w:sz w:val="23"/>
          <w:szCs w:val="23"/>
        </w:rPr>
        <w:t>. 325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mziort</w:t>
      </w:r>
      <w:proofErr w:type="spellEnd"/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137B58">
        <w:rPr>
          <w:rFonts w:ascii="Times New Roman" w:hAnsi="Times New Roman" w:cs="Times New Roman"/>
          <w:sz w:val="23"/>
          <w:szCs w:val="23"/>
        </w:rPr>
        <w:t>839422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137B58">
        <w:rPr>
          <w:rFonts w:ascii="Times New Roman" w:hAnsi="Times New Roman" w:cs="Times New Roman"/>
          <w:sz w:val="23"/>
          <w:szCs w:val="23"/>
        </w:rPr>
        <w:t>63-1</w:t>
      </w:r>
      <w:r w:rsidR="00FD50DA">
        <w:rPr>
          <w:rFonts w:ascii="Times New Roman" w:hAnsi="Times New Roman" w:cs="Times New Roman"/>
          <w:sz w:val="23"/>
          <w:szCs w:val="23"/>
        </w:rPr>
        <w:t>3</w:t>
      </w:r>
    </w:p>
    <w:p w:rsidR="004754CE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137B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7B58">
        <w:rPr>
          <w:rFonts w:ascii="Times New Roman" w:hAnsi="Times New Roman" w:cs="Times New Roman"/>
          <w:sz w:val="23"/>
          <w:szCs w:val="23"/>
        </w:rPr>
        <w:t>Маады</w:t>
      </w:r>
      <w:proofErr w:type="spellEnd"/>
      <w:r w:rsidR="00137B58">
        <w:rPr>
          <w:rFonts w:ascii="Times New Roman" w:hAnsi="Times New Roman" w:cs="Times New Roman"/>
          <w:sz w:val="23"/>
          <w:szCs w:val="23"/>
        </w:rPr>
        <w:t xml:space="preserve"> Буян Александрович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Р</w:t>
      </w:r>
      <w:r w:rsidRPr="003E322D">
        <w:rPr>
          <w:rFonts w:ascii="Times New Roman" w:hAnsi="Times New Roman" w:cs="Times New Roman"/>
          <w:sz w:val="23"/>
          <w:szCs w:val="23"/>
        </w:rPr>
        <w:t>аспоряжени</w:t>
      </w:r>
      <w:r>
        <w:rPr>
          <w:rFonts w:ascii="Times New Roman" w:hAnsi="Times New Roman" w:cs="Times New Roman"/>
          <w:sz w:val="23"/>
          <w:szCs w:val="23"/>
        </w:rPr>
        <w:t>е Министерство земельных и имущественных отношений 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06.12.2022г.</w:t>
      </w:r>
      <w:r>
        <w:rPr>
          <w:rFonts w:ascii="Times New Roman" w:hAnsi="Times New Roman" w:cs="Times New Roman"/>
          <w:sz w:val="23"/>
          <w:szCs w:val="23"/>
        </w:rPr>
        <w:t xml:space="preserve"> № </w:t>
      </w:r>
      <w:r w:rsidR="00F3326C">
        <w:rPr>
          <w:rFonts w:ascii="Times New Roman" w:hAnsi="Times New Roman" w:cs="Times New Roman"/>
          <w:sz w:val="23"/>
          <w:szCs w:val="23"/>
        </w:rPr>
        <w:t>974-р</w:t>
      </w:r>
      <w:bookmarkStart w:id="2" w:name="_GoBack"/>
      <w:bookmarkEnd w:id="2"/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013AE5">
        <w:rPr>
          <w:rFonts w:ascii="Times New Roman" w:hAnsi="Times New Roman" w:cs="Times New Roman"/>
          <w:sz w:val="23"/>
          <w:szCs w:val="23"/>
        </w:rPr>
        <w:t>18</w:t>
      </w:r>
      <w:r w:rsidR="00137B58">
        <w:rPr>
          <w:rFonts w:ascii="Times New Roman" w:hAnsi="Times New Roman" w:cs="Times New Roman"/>
          <w:sz w:val="23"/>
          <w:szCs w:val="23"/>
        </w:rPr>
        <w:t>.01.2023г.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9:00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 соответствует местному времени, в котором функционирует электронная площадка)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платы.</w:t>
      </w:r>
    </w:p>
    <w:p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с западной стороны от дома 3 по ул. Полигонная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sz w:val="23"/>
          <w:szCs w:val="23"/>
        </w:rPr>
        <w:t>400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17:18:0105062:2726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Зона застройки малоэтажными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Pr="00C2005C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4754CE" w:rsidRPr="00C2005C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Централизованная система холодного водоснабжения: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Предположительная точка подключения – трубопровод холодного водоснабжения по ул. Полигонная. Диаметр трубопровода в точке подключения – 159 мм. Материал трубопровода в точке подключения – сталь. </w:t>
      </w:r>
      <w:proofErr w:type="gramStart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(При условии обеспечения охранной зоны сетям и сооружениям трубопроводу холодного водоснабжения по ул. Полигонная, согласно СП 42.13330.2016 «Градостроительства.</w:t>
      </w:r>
      <w:proofErr w:type="gramEnd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Застройка городских и сельских поселений». </w:t>
      </w:r>
      <w:proofErr w:type="gramStart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настоящее время земельный участок расположен на трубопроводе холодного водоснабжения по ул. Полигонная)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Централизованная система водоотведения: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связи с отсутствием свободных мощностей существующих левобережных очистных канализации, подключение предполагаемому к строительству объекта будет возможно только после завершения строительства по расширению городских левобережных очистных сооружений канализации.</w:t>
      </w:r>
      <w:proofErr w:type="gramEnd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настоящий момент водоотведение объекта возможно только локально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02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09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220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Кызылская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фидер 20-04, 20-12, РП-5, ф.52. Резервный источник питания: нет. Возможная точка присоединения к электрическим сетям: от установленной опоры, вновь построенной воздушной линии (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от проектируемой трансформаторной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кВ.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06.09.2022г.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37770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семь тысяч семьсот семьдесят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ООО «Оцени»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1133,1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сто тридцать три рубля десять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7554 (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 тысяч пятьсот пятьдесят четыре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4754CE" w:rsidRDefault="004754CE" w:rsidP="004754CE"/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2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lastRenderedPageBreak/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г. Кызыл, с восточной стороны от земельного участка с кадастровым номером 17:18:0102012:725 по ул. </w:t>
      </w:r>
      <w:proofErr w:type="spellStart"/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>Курагинская</w:t>
      </w:r>
      <w:proofErr w:type="spellEnd"/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>, д. 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>773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>17:18:0102012:1527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>Отдых (рекреация)</w:t>
      </w:r>
    </w:p>
    <w:p w:rsidR="00352518" w:rsidRPr="00352518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35251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352518" w:rsidRPr="00352518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867E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 невозможно, по причине отсутствия в данном районе города централизованной системы холодного водоснабжения. Подключение невозможно, по причине отсутствия в данном районе города</w:t>
      </w:r>
      <w:r w:rsidR="00352518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</w:t>
      </w:r>
      <w:proofErr w:type="gramStart"/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исьмо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фидер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44-07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ВЛ-10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ф.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Резервный источник питания: нет. Возможная точка присоединения к электрическим сетям: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опора №3, существующей воздушной линии (</w:t>
      </w:r>
      <w:proofErr w:type="gram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отходящая от трансформаторной подстанции (ТП) 10/0,4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 546,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=630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.0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9274C6" w:rsidRP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 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4754C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900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девятьсот рублей ноль копеек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6000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2101D2" w:rsidRP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 тысяч рублей ноль копеек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101D2">
        <w:rPr>
          <w:rFonts w:ascii="Times New Roman" w:hAnsi="Times New Roman" w:cs="Times New Roman"/>
          <w:color w:val="000000"/>
          <w:sz w:val="23"/>
          <w:szCs w:val="23"/>
        </w:rPr>
        <w:t>49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lastRenderedPageBreak/>
        <w:t>Лот:</w:t>
      </w:r>
      <w:r>
        <w:rPr>
          <w:rFonts w:ascii="Times New Roman" w:hAnsi="Times New Roman" w:cs="Times New Roman"/>
          <w:b/>
          <w:sz w:val="23"/>
          <w:szCs w:val="23"/>
        </w:rPr>
        <w:t>3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E150C" w:rsidRPr="00DE150C">
        <w:rPr>
          <w:rFonts w:ascii="Times New Roman" w:hAnsi="Times New Roman" w:cs="Times New Roman"/>
          <w:sz w:val="23"/>
          <w:szCs w:val="23"/>
        </w:rPr>
        <w:t xml:space="preserve">Российская Федерация, г. Кызыл, с юго-восточной стороны от земельного участка с кадастровым номером 17:18:0102012:725 по ул. </w:t>
      </w:r>
      <w:proofErr w:type="spellStart"/>
      <w:r w:rsidR="00DE150C" w:rsidRPr="00DE150C">
        <w:rPr>
          <w:rFonts w:ascii="Times New Roman" w:hAnsi="Times New Roman" w:cs="Times New Roman"/>
          <w:sz w:val="23"/>
          <w:szCs w:val="23"/>
        </w:rPr>
        <w:t>Курагинская</w:t>
      </w:r>
      <w:proofErr w:type="spellEnd"/>
      <w:r w:rsidR="00DE150C" w:rsidRPr="00DE150C">
        <w:rPr>
          <w:rFonts w:ascii="Times New Roman" w:hAnsi="Times New Roman" w:cs="Times New Roman"/>
          <w:sz w:val="23"/>
          <w:szCs w:val="23"/>
        </w:rPr>
        <w:t>, д. 1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E150C" w:rsidRPr="00DE150C">
        <w:rPr>
          <w:rFonts w:ascii="Times New Roman" w:hAnsi="Times New Roman" w:cs="Times New Roman"/>
          <w:color w:val="000000"/>
          <w:sz w:val="23"/>
          <w:szCs w:val="23"/>
        </w:rPr>
        <w:t>644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352518">
        <w:rPr>
          <w:rFonts w:ascii="Times New Roman" w:hAnsi="Times New Roman" w:cs="Times New Roman"/>
          <w:color w:val="000000"/>
          <w:sz w:val="23"/>
          <w:szCs w:val="23"/>
        </w:rPr>
        <w:t>17:18:0102012:1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620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352518">
        <w:rPr>
          <w:rFonts w:ascii="Times New Roman" w:hAnsi="Times New Roman" w:cs="Times New Roman"/>
          <w:color w:val="000000"/>
          <w:sz w:val="23"/>
          <w:szCs w:val="23"/>
        </w:rPr>
        <w:t>Отдых (рекреация)</w:t>
      </w:r>
    </w:p>
    <w:p w:rsidR="002101D2" w:rsidRPr="00352518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352518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2101D2" w:rsidRPr="00867E63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2101D2" w:rsidRPr="00533024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 невозможно, по причине отсутствия в данном районе города централизованной системы холодного водоснабжения. Подключение невозможно, по причине отсутствия в данном районе города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 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Вавилинская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фидер 44-07, ВЛ-10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ф.23. Резервный источник питания: нет. Возможная точка присоединения к электрическим сетям: опора №3, существующей воздушной линии (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отходящая от трансформаторной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 546,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=630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2101D2" w:rsidRPr="00533024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21.07.2022г.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2101D2" w:rsidRPr="009570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DE150C" w:rsidRP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DE150C" w:rsidRP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двадцать пять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 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2101D2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2101D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DE150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750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семьсот пятьдесят рублей ноль копеек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2101D2" w:rsidRPr="009570F7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000 (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</w:t>
      </w:r>
      <w:r w:rsidR="002101D2" w:rsidRP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рублей ноль копеек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2101D2" w:rsidRDefault="002101D2" w:rsidP="002101D2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49 лет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2101D2" w:rsidRDefault="002101D2" w:rsidP="002101D2"/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lastRenderedPageBreak/>
        <w:t>Предмет аукциона:</w:t>
      </w:r>
    </w:p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4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DE150C" w:rsidRP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город Кызыл, с юго-восточной стороны от ул.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Сукпакская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, д. 7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13 399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17:18:0105001:436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352518">
        <w:rPr>
          <w:rFonts w:ascii="Times New Roman" w:hAnsi="Times New Roman" w:cs="Times New Roman"/>
          <w:color w:val="000000"/>
          <w:sz w:val="23"/>
          <w:szCs w:val="23"/>
        </w:rPr>
        <w:t>Отдых (рекреация)</w:t>
      </w:r>
    </w:p>
    <w:p w:rsidR="00DE150C" w:rsidRPr="00352518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Р-3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Зона озеленения специального назначения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DE150C" w:rsidP="00867E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DE150C" w:rsidRPr="00533024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 невозможно, по причине отсутствия в данном районе города централизованной системы холодного водоснабжения. Подключение невозможно, по причине отсутствия свободных мощностей существующих левобережных очистных канализаций г. Кызыла, подключение будет возможно только по завершения строительства по расширению городских л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вобережных очистных сооружений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канализации. Также следует учесть, что по территории данного земельного участка проходит гла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ный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канализационный коллектор г. Кызыла (необходимо обеспечить охранную зону канализационному коллектору диаметром 1500 мм, согласно СП 42.13330.2016 «Градостроительства. Застройка городских и </w:t>
      </w:r>
      <w:proofErr w:type="spellStart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мельских</w:t>
      </w:r>
      <w:proofErr w:type="spellEnd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поселений»)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 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Западная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фидер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36-01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Резервный источник питания: нет. Возможная точка присоединения к электрическим сетям: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от РУ-0,4 </w:t>
      </w:r>
      <w:proofErr w:type="spellStart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проектируемой трансформаторной подстанции (ТП) 10/0,4 </w:t>
      </w:r>
      <w:proofErr w:type="spellStart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DE150C" w:rsidRPr="00533024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.0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DE150C" w:rsidRPr="009570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881813" w:rsidRP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486 000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881813" w:rsidRP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 восемьдесят шесть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 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DE150C" w:rsidRDefault="00CA3DA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DE150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14 580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четырнадцать тысяч пятьсот восемьдесят рублей ноль копеек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E150C" w:rsidRPr="009570F7" w:rsidRDefault="00CA3DA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97 200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881813" w:rsidRP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девяносто семь тысяч двести рублей ноль копеек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E150C" w:rsidRDefault="00DE150C" w:rsidP="00DE150C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49 лет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50683" w:rsidRPr="00B246F7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E50683" w:rsidRPr="00B246F7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5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E50683" w:rsidRP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50683">
        <w:rPr>
          <w:rFonts w:ascii="Times New Roman" w:hAnsi="Times New Roman" w:cs="Times New Roman"/>
          <w:sz w:val="23"/>
          <w:szCs w:val="23"/>
        </w:rPr>
        <w:t>Российская Федерация, Республика Тыва, г. Кызыл, с восточной стороны ГО "Магистральный-4", гараж №10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47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E50683">
        <w:rPr>
          <w:rFonts w:ascii="Times New Roman" w:hAnsi="Times New Roman" w:cs="Times New Roman"/>
          <w:color w:val="000000"/>
          <w:sz w:val="23"/>
          <w:szCs w:val="23"/>
        </w:rPr>
        <w:t>17:18:0105048:3424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E50683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</w:p>
    <w:p w:rsidR="00E50683" w:rsidRPr="00352518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E50683">
        <w:rPr>
          <w:rFonts w:ascii="Times New Roman" w:hAnsi="Times New Roman" w:cs="Times New Roman"/>
          <w:color w:val="000000"/>
          <w:sz w:val="23"/>
          <w:szCs w:val="23"/>
        </w:rPr>
        <w:t>П-4</w:t>
      </w:r>
      <w:r w:rsidR="00CA3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E50683">
        <w:rPr>
          <w:rFonts w:ascii="Times New Roman" w:hAnsi="Times New Roman" w:cs="Times New Roman"/>
          <w:color w:val="000000"/>
          <w:sz w:val="23"/>
          <w:szCs w:val="23"/>
        </w:rPr>
        <w:t>Зона производственно-коммунальных объектов V класса опасности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E50683" w:rsidP="00867E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E50683" w:rsidRPr="00533024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E50683" w:rsidRPr="00C2005C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- 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Централизованная система холодного водоснабжения: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Предположительная точка подключения – магистральной трубопровод холодного водоснабжения по ул. Иркутская, расположенный в 100 метрах южнее границы земельного участка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обьекта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Диаметр трубопровода в точке подключения – 530 мм. Материал трубопровода в точке подключения – сталь.</w:t>
      </w:r>
    </w:p>
    <w:p w:rsid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Централизованная система водоотведения: в связи с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отсутствием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очистных канализации, подключение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предполагаемого к строительству объекта будет возможно только после завершения строительства по расширению городских левобережных очистных сооружений канализации. В настоящий момент водоотведение объекта возможно только локально</w:t>
      </w:r>
      <w:proofErr w:type="gramStart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 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02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Городская</w:t>
      </w:r>
      <w:proofErr w:type="gramEnd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фид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ер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12, 11-15, РП-6, ф. 67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Резервный источник питания: нет. Возможная точка присоединения к электрическим сетям: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опора №6, существующей воздушной линии (</w:t>
      </w:r>
      <w:proofErr w:type="gramStart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Л-5, отходящая от трансформаторной подстанции (ТП) 10/0,4 </w:t>
      </w:r>
      <w:proofErr w:type="spellStart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№325,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=2*400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E50683" w:rsidRPr="00533024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от 0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.09.2022г.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E50683" w:rsidRPr="009570F7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E01818" w:rsidRP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19 539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E01818" w:rsidRP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девятнадцать тысяч пятьсот тридцать девять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ООО «ГБУ «Респект»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E50683" w:rsidRDefault="00CA3DAF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E50683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586,17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восемьдесят шесть рублей семнадцать копеек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E50683" w:rsidRPr="009570F7" w:rsidRDefault="00CA3DAF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3907,8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E01818" w:rsidRP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девятьсот семь рублей восемьдесят копеек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E50683" w:rsidRDefault="00E50683" w:rsidP="00E50683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01818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1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12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3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2D5AD2">
        <w:rPr>
          <w:u w:val="single"/>
        </w:rPr>
        <w:t>12</w:t>
      </w:r>
      <w:r>
        <w:rPr>
          <w:u w:val="single"/>
        </w:rPr>
        <w:t>.1</w:t>
      </w:r>
      <w:r w:rsidR="00137B58">
        <w:rPr>
          <w:u w:val="single"/>
        </w:rPr>
        <w:t>2</w:t>
      </w:r>
      <w:r>
        <w:rPr>
          <w:u w:val="single"/>
        </w:rPr>
        <w:t>.2022 года с 08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137B58">
        <w:rPr>
          <w:u w:val="single"/>
        </w:rPr>
        <w:t>11</w:t>
      </w:r>
      <w:r>
        <w:rPr>
          <w:u w:val="single"/>
        </w:rPr>
        <w:t>.</w:t>
      </w:r>
      <w:r w:rsidR="00137B58">
        <w:rPr>
          <w:u w:val="single"/>
        </w:rPr>
        <w:t>01</w:t>
      </w:r>
      <w:r>
        <w:rPr>
          <w:u w:val="single"/>
        </w:rPr>
        <w:t>.202</w:t>
      </w:r>
      <w:r w:rsidR="00137B58">
        <w:rPr>
          <w:u w:val="single"/>
        </w:rPr>
        <w:t>3</w:t>
      </w:r>
      <w:r>
        <w:rPr>
          <w:u w:val="single"/>
        </w:rPr>
        <w:t xml:space="preserve"> г. в 16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14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013AE5">
        <w:t>16</w:t>
      </w:r>
      <w:r>
        <w:t>.</w:t>
      </w:r>
      <w:r w:rsidR="00013AE5">
        <w:t>01</w:t>
      </w:r>
      <w:r>
        <w:t>.202</w:t>
      </w:r>
      <w:r w:rsidR="00013AE5">
        <w:t>3</w:t>
      </w:r>
      <w:r>
        <w:t>г.</w:t>
      </w:r>
    </w:p>
    <w:p w:rsidR="00DE150C" w:rsidRDefault="00DE150C" w:rsidP="003D4782">
      <w:pPr>
        <w:pStyle w:val="a5"/>
        <w:ind w:firstLine="709"/>
      </w:pPr>
    </w:p>
    <w:p w:rsidR="00DE150C" w:rsidRDefault="00DE150C" w:rsidP="00DE150C"/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>
        <w:rPr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5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lastRenderedPageBreak/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3D4782" w:rsidRDefault="003D4782" w:rsidP="003D4782">
      <w:pPr>
        <w:pStyle w:val="a5"/>
        <w:ind w:firstLine="709"/>
      </w:pPr>
      <w:proofErr w:type="gramStart"/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Default="002101D2" w:rsidP="004754CE"/>
    <w:p w:rsidR="003D4782" w:rsidRDefault="003D4782" w:rsidP="004754CE"/>
    <w:p w:rsidR="003D4782" w:rsidRDefault="003D4782" w:rsidP="003D4782">
      <w:pPr>
        <w:spacing w:line="240" w:lineRule="atLeast"/>
      </w:pPr>
      <w:r>
        <w:rPr>
          <w:b/>
        </w:rPr>
        <w:t xml:space="preserve">Комиссионный сбор: </w:t>
      </w:r>
      <w:r>
        <w:t xml:space="preserve">Согласно Приказу №18 от 26.09.2022 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3D4782" w:rsidRDefault="003D4782" w:rsidP="003D4782">
      <w:pPr>
        <w:spacing w:line="240" w:lineRule="atLeast"/>
      </w:pPr>
      <w:r>
        <w:t xml:space="preserve">Согласно указанному Приказу </w:t>
      </w:r>
      <w:r>
        <w:rPr>
          <w:b/>
        </w:rPr>
        <w:t>размер комиссионного сбора подлежащего взиманию составляет</w:t>
      </w:r>
      <w:r>
        <w:t xml:space="preserve"> </w:t>
      </w:r>
      <w:r>
        <w:rPr>
          <w:b/>
        </w:rPr>
        <w:t>15000 рублей</w:t>
      </w:r>
      <w:r>
        <w:t xml:space="preserve">, включая НДС, заключаемого по итогам проведения Аукциона, с учетом НДС 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>(на счете должно быть: 100% от начальной (минимальной) цены лота + 15000 рублей).</w:t>
      </w:r>
    </w:p>
    <w:p w:rsidR="003D4782" w:rsidRDefault="003D4782" w:rsidP="004754CE"/>
    <w:sectPr w:rsidR="003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37B58"/>
    <w:rsid w:val="002101D2"/>
    <w:rsid w:val="0029130F"/>
    <w:rsid w:val="002D5AD2"/>
    <w:rsid w:val="00352518"/>
    <w:rsid w:val="003D4782"/>
    <w:rsid w:val="0040198A"/>
    <w:rsid w:val="00437CE5"/>
    <w:rsid w:val="004754CE"/>
    <w:rsid w:val="004E5851"/>
    <w:rsid w:val="00744649"/>
    <w:rsid w:val="007618AD"/>
    <w:rsid w:val="00867E63"/>
    <w:rsid w:val="00881813"/>
    <w:rsid w:val="008F4052"/>
    <w:rsid w:val="009274C6"/>
    <w:rsid w:val="00CA3DAF"/>
    <w:rsid w:val="00DE150C"/>
    <w:rsid w:val="00E01818"/>
    <w:rsid w:val="00E50683"/>
    <w:rsid w:val="00EF4029"/>
    <w:rsid w:val="00F3326C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sale.zakazrf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www.consultant.ru/document/cons_doc_LAW_389676/7705ea248eb2ec0cf267513902ed8f43cc104c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/" TargetMode="External"/><Relationship Id="rId10" Type="http://schemas.openxmlformats.org/officeDocument/2006/relationships/hyperlink" Target="http://www.consultant.ru/document/cons_doc_LAW_389676/7705ea248eb2ec0cf267513902ed8f43cc104c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РТ мзио</cp:lastModifiedBy>
  <cp:revision>19</cp:revision>
  <cp:lastPrinted>2022-12-08T08:27:00Z</cp:lastPrinted>
  <dcterms:created xsi:type="dcterms:W3CDTF">2022-11-16T07:56:00Z</dcterms:created>
  <dcterms:modified xsi:type="dcterms:W3CDTF">2022-12-12T04:35:00Z</dcterms:modified>
</cp:coreProperties>
</file>