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0C" w:rsidRPr="006F0E2E" w:rsidRDefault="00B6080C" w:rsidP="00B6080C">
      <w:pPr>
        <w:pStyle w:val="ConsPlusTitlePage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F0E2E">
        <w:rPr>
          <w:rFonts w:ascii="Times New Roman" w:hAnsi="Times New Roman" w:cs="Times New Roman"/>
          <w:sz w:val="28"/>
          <w:szCs w:val="28"/>
        </w:rPr>
        <w:t>Проект</w:t>
      </w:r>
    </w:p>
    <w:p w:rsidR="00B6080C" w:rsidRDefault="00B6080C" w:rsidP="00B6080C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F0E2E">
        <w:rPr>
          <w:rFonts w:ascii="Times New Roman" w:hAnsi="Times New Roman" w:cs="Times New Roman"/>
          <w:sz w:val="28"/>
          <w:szCs w:val="28"/>
        </w:rPr>
        <w:br/>
      </w:r>
    </w:p>
    <w:p w:rsidR="00B6080C" w:rsidRDefault="00B6080C" w:rsidP="00B6080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080C" w:rsidRDefault="00B6080C" w:rsidP="00B6080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080C" w:rsidRDefault="00B6080C" w:rsidP="00B6080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080C" w:rsidRPr="006F0E2E" w:rsidRDefault="00B6080C" w:rsidP="00B6080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6080C" w:rsidRDefault="00B6080C" w:rsidP="00B6080C">
      <w:pPr>
        <w:pStyle w:val="ConsPlusNormal"/>
        <w:jc w:val="both"/>
      </w:pPr>
    </w:p>
    <w:p w:rsidR="00B6080C" w:rsidRPr="00B6080C" w:rsidRDefault="00B6080C" w:rsidP="00B6080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О внесении изменений в государственную программу Республики Тыва «Развитие земельно-имущественных отношений на территории Республики Тыва на 2014 - 2022 годы»</w:t>
      </w:r>
    </w:p>
    <w:p w:rsidR="00B6080C" w:rsidRPr="00352130" w:rsidRDefault="00B6080C" w:rsidP="00B6080C">
      <w:pPr>
        <w:pStyle w:val="ConsPlusTitle"/>
        <w:jc w:val="center"/>
      </w:pPr>
    </w:p>
    <w:p w:rsidR="00923CDC" w:rsidRPr="00923CDC" w:rsidRDefault="00923CDC" w:rsidP="007E34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3CDC">
        <w:rPr>
          <w:rFonts w:ascii="Times New Roman" w:hAnsi="Times New Roman" w:cs="Times New Roman"/>
          <w:sz w:val="28"/>
          <w:szCs w:val="28"/>
        </w:rPr>
        <w:t xml:space="preserve">В целях реализации постановления Правительства Российской Федерации от 15 апреля 2014 г. № 316 «Об утверждении государственной программы Российской Федерации «Экономическое развитие и инновационная экономика», постановления Правительства Российской Федерации от 10 октября 2013 г. № 903 «О федеральной целевой программе «Развитие единой государственной системы регистрации прав и кадастрового учета недвижимости (2014-2020 годы)» </w:t>
      </w:r>
      <w:r w:rsidRPr="00923CDC">
        <w:rPr>
          <w:rFonts w:ascii="Times New Roman" w:hAnsi="Times New Roman" w:cs="Times New Roman"/>
          <w:bCs/>
          <w:sz w:val="28"/>
          <w:szCs w:val="28"/>
        </w:rPr>
        <w:t>Правительство Республики Тыва ПОСТАНОВЛЯЕТ:</w:t>
      </w:r>
    </w:p>
    <w:p w:rsidR="00923CDC" w:rsidRPr="00923CDC" w:rsidRDefault="00923CDC" w:rsidP="007E34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CDC">
        <w:rPr>
          <w:rFonts w:ascii="Times New Roman" w:hAnsi="Times New Roman" w:cs="Times New Roman"/>
          <w:sz w:val="28"/>
          <w:szCs w:val="28"/>
        </w:rPr>
        <w:t xml:space="preserve">1. Внести в государственную </w:t>
      </w:r>
      <w:hyperlink r:id="rId4" w:history="1">
        <w:r w:rsidRPr="00923CDC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923CDC">
        <w:rPr>
          <w:rFonts w:ascii="Times New Roman" w:hAnsi="Times New Roman" w:cs="Times New Roman"/>
          <w:sz w:val="28"/>
          <w:szCs w:val="28"/>
        </w:rPr>
        <w:t xml:space="preserve"> Республики Тыва «Развитие земельно-имущественных отношений на территории Республики Тыва на 2014 - 2022 годы» (далее - Программа), утвержденную постановлением Правительства Республики Тыва от 14 ноября 2013 года № 670, следующие изменения:</w:t>
      </w:r>
    </w:p>
    <w:p w:rsidR="009B4722" w:rsidRDefault="00923CDC" w:rsidP="007E3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CDC">
        <w:rPr>
          <w:rFonts w:ascii="Times New Roman" w:hAnsi="Times New Roman" w:cs="Times New Roman"/>
          <w:sz w:val="28"/>
          <w:szCs w:val="28"/>
        </w:rPr>
        <w:t xml:space="preserve">1) </w:t>
      </w:r>
      <w:r w:rsidR="009B4722">
        <w:rPr>
          <w:rFonts w:ascii="Times New Roman" w:hAnsi="Times New Roman" w:cs="Times New Roman"/>
          <w:sz w:val="28"/>
          <w:szCs w:val="28"/>
        </w:rPr>
        <w:t>в паспорте Программы позицию «Целевые индикаторы и показатели Программы» изложить в следующей редакции:</w:t>
      </w:r>
    </w:p>
    <w:tbl>
      <w:tblPr>
        <w:tblW w:w="10064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40"/>
        <w:gridCol w:w="6847"/>
      </w:tblGrid>
      <w:tr w:rsidR="007E34A2" w:rsidRPr="007E34A2" w:rsidTr="00C32BAA">
        <w:tc>
          <w:tcPr>
            <w:tcW w:w="2977" w:type="dxa"/>
            <w:hideMark/>
          </w:tcPr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«Целевые индикаторы и показатели Программы</w:t>
            </w:r>
          </w:p>
        </w:tc>
        <w:tc>
          <w:tcPr>
            <w:tcW w:w="240" w:type="dxa"/>
            <w:hideMark/>
          </w:tcPr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47" w:type="dxa"/>
          </w:tcPr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совокупные поступления в консолидированный бюджет Республики Тыва от земельного налога, доходов от аренды и продажи земельных участков (базовое значение индикатора в 2012 году - 172,2 млн. рублей)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- 181,8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- 196,2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- 211,9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- 205,3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- 230,0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- 240,0 млн. рублей;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- 203,7 </w:t>
            </w:r>
            <w:proofErr w:type="spellStart"/>
            <w:proofErr w:type="gramStart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млн.рублей</w:t>
            </w:r>
            <w:proofErr w:type="spellEnd"/>
            <w:proofErr w:type="gramEnd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- 20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млн.рублей</w:t>
            </w:r>
            <w:proofErr w:type="spellEnd"/>
            <w:proofErr w:type="gramEnd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208,3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доля муниципальных образований, по которым описаны границы и данные, внесены в государственный кадастр недвижимости: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2014 год - 47,0 процентов;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- 70,5 процента;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земельных участков, прошедших актуализацию государственной кадастровой оценки земель: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- 8993 ед.;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- 646 ед.;</w:t>
            </w:r>
          </w:p>
          <w:p w:rsid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- 84625 ед.;</w:t>
            </w:r>
          </w:p>
          <w:p w:rsid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1393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</w:t>
            </w:r>
            <w:proofErr w:type="spellEnd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2021 год </w:t>
            </w:r>
            <w:r w:rsidR="006A3FE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115960 ед.</w:t>
            </w:r>
          </w:p>
          <w:p w:rsidR="007E34A2" w:rsidRPr="007E34A2" w:rsidRDefault="006A3FE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 -</w:t>
            </w:r>
            <w:r w:rsid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120167 ед.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объектов недвижимости </w:t>
            </w:r>
            <w:proofErr w:type="gramStart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кадастровых кварталах</w:t>
            </w:r>
            <w:proofErr w:type="gramEnd"/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отношении которых проведены комплексные кадастровые работы: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- 3712 ед.;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- 11265 ед.;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 - 9062 ед.;</w:t>
            </w:r>
            <w:bookmarkStart w:id="0" w:name="_GoBack"/>
            <w:bookmarkEnd w:id="0"/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2022 год - 20000 ед.; </w:t>
            </w:r>
          </w:p>
          <w:p w:rsidR="007E34A2" w:rsidRPr="007E34A2" w:rsidRDefault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земельных участков, государственная собственность на которые не разграничена на территории г. Кызыла и учтенных в ЕГРН с границами:</w:t>
            </w:r>
          </w:p>
          <w:p w:rsidR="007E34A2" w:rsidRDefault="007E34A2" w:rsidP="007E34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400 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:rsidR="007E34A2" w:rsidRPr="007E34A2" w:rsidRDefault="007E34A2" w:rsidP="00A746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- 400 га</w:t>
            </w:r>
            <w:r w:rsidRPr="007E34A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</w:tc>
      </w:tr>
    </w:tbl>
    <w:p w:rsidR="00C32BAA" w:rsidRPr="00C32BAA" w:rsidRDefault="00C32BAA" w:rsidP="00C32B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32BAA">
        <w:rPr>
          <w:rFonts w:ascii="Times New Roman" w:hAnsi="Times New Roman" w:cs="Times New Roman"/>
          <w:sz w:val="28"/>
          <w:szCs w:val="28"/>
        </w:rPr>
        <w:t xml:space="preserve">) в паспорте Программы в </w:t>
      </w:r>
      <w:hyperlink r:id="rId5" w:history="1">
        <w:r w:rsidRPr="00C32BAA">
          <w:rPr>
            <w:rFonts w:ascii="Times New Roman" w:hAnsi="Times New Roman" w:cs="Times New Roman"/>
            <w:sz w:val="28"/>
            <w:szCs w:val="28"/>
          </w:rPr>
          <w:t>позиции</w:t>
        </w:r>
      </w:hyperlink>
      <w:r w:rsidRPr="00C32BAA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Программы» </w:t>
      </w:r>
      <w:hyperlink r:id="rId6" w:history="1">
        <w:r w:rsidRPr="00C32BAA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32B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175,5694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174,6565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33,3343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32,4224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11,8943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10,9824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10,2608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9,3998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10,8317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9,9755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20,4485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21,3095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20,3346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21,1908</w:t>
      </w:r>
      <w:r w:rsidRPr="00C32BAA">
        <w:rPr>
          <w:rFonts w:ascii="Times New Roman" w:hAnsi="Times New Roman" w:cs="Times New Roman"/>
          <w:sz w:val="28"/>
          <w:szCs w:val="28"/>
        </w:rPr>
        <w:t>»;</w:t>
      </w:r>
    </w:p>
    <w:p w:rsidR="00C32BAA" w:rsidRPr="00C32BAA" w:rsidRDefault="00C32BAA" w:rsidP="00C32BA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2BAA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7" w:history="1">
        <w:r w:rsidRPr="00C32BAA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C32BA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32BAA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32B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175,5694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174</w:t>
      </w:r>
      <w:r w:rsidRPr="00C32B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6565</w:t>
      </w:r>
      <w:r w:rsidRPr="00C32BAA">
        <w:rPr>
          <w:rFonts w:ascii="Times New Roman" w:hAnsi="Times New Roman" w:cs="Times New Roman"/>
          <w:sz w:val="28"/>
          <w:szCs w:val="28"/>
        </w:rPr>
        <w:t xml:space="preserve">», </w:t>
      </w:r>
      <w:hyperlink r:id="rId9" w:history="1">
        <w:r w:rsidRPr="00C32BAA">
          <w:rPr>
            <w:rFonts w:ascii="Times New Roman" w:hAnsi="Times New Roman" w:cs="Times New Roman"/>
            <w:sz w:val="28"/>
            <w:szCs w:val="28"/>
          </w:rPr>
          <w:t>цифры</w:t>
        </w:r>
      </w:hyperlink>
      <w:r w:rsidRPr="00C32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BAA">
        <w:rPr>
          <w:rFonts w:ascii="Times New Roman" w:hAnsi="Times New Roman" w:cs="Times New Roman"/>
          <w:sz w:val="28"/>
          <w:szCs w:val="28"/>
        </w:rPr>
        <w:t>цифры</w:t>
      </w:r>
      <w:proofErr w:type="spellEnd"/>
      <w:r w:rsidRPr="00C32BA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33,3343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32,4224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11,8943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10,9824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10,2608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9,3998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10,8317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9,9755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20,4485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21,3095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20,3346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«20,3346», цифры «</w:t>
      </w:r>
      <w:r>
        <w:rPr>
          <w:rFonts w:ascii="Times New Roman" w:hAnsi="Times New Roman" w:cs="Times New Roman"/>
          <w:sz w:val="28"/>
          <w:szCs w:val="28"/>
        </w:rPr>
        <w:t>132,3721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131,4602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8,2160</w:t>
      </w:r>
      <w:r w:rsidRPr="00C32BA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5,5869</w:t>
      </w:r>
      <w:r w:rsidRPr="00C32BAA">
        <w:rPr>
          <w:rFonts w:ascii="Times New Roman" w:hAnsi="Times New Roman" w:cs="Times New Roman"/>
          <w:sz w:val="28"/>
          <w:szCs w:val="28"/>
        </w:rPr>
        <w:t>», цифры «</w:t>
      </w:r>
      <w:r>
        <w:rPr>
          <w:rFonts w:ascii="Times New Roman" w:hAnsi="Times New Roman" w:cs="Times New Roman"/>
          <w:sz w:val="28"/>
          <w:szCs w:val="28"/>
        </w:rPr>
        <w:t>124,1561</w:t>
      </w:r>
      <w:r w:rsidRPr="00C32BAA">
        <w:rPr>
          <w:rFonts w:ascii="Times New Roman" w:hAnsi="Times New Roman" w:cs="Times New Roman"/>
          <w:sz w:val="28"/>
          <w:szCs w:val="28"/>
        </w:rPr>
        <w:t>», заменить цифрами «</w:t>
      </w:r>
      <w:r>
        <w:rPr>
          <w:rFonts w:ascii="Times New Roman" w:hAnsi="Times New Roman" w:cs="Times New Roman"/>
          <w:sz w:val="28"/>
          <w:szCs w:val="28"/>
        </w:rPr>
        <w:t>125,8733</w:t>
      </w:r>
      <w:r w:rsidRPr="00C32BAA">
        <w:rPr>
          <w:rFonts w:ascii="Times New Roman" w:hAnsi="Times New Roman" w:cs="Times New Roman"/>
          <w:sz w:val="28"/>
          <w:szCs w:val="28"/>
        </w:rPr>
        <w:t>»;</w:t>
      </w:r>
    </w:p>
    <w:p w:rsidR="00E3048C" w:rsidRPr="009C7F43" w:rsidRDefault="007E34A2" w:rsidP="007E3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048C" w:rsidRPr="009C7F43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E3048C" w:rsidRPr="009C7F43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435A36">
          <w:rPr>
            <w:rFonts w:ascii="Times New Roman" w:hAnsi="Times New Roman" w:cs="Times New Roman"/>
            <w:sz w:val="28"/>
            <w:szCs w:val="28"/>
          </w:rPr>
          <w:t>№</w:t>
        </w:r>
        <w:r w:rsidR="00E3048C" w:rsidRPr="009C7F43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="00E3048C" w:rsidRPr="009C7F43">
        <w:rPr>
          <w:rFonts w:ascii="Times New Roman" w:hAnsi="Times New Roman" w:cs="Times New Roman"/>
          <w:sz w:val="28"/>
          <w:szCs w:val="28"/>
        </w:rPr>
        <w:t xml:space="preserve"> </w:t>
      </w:r>
      <w:r w:rsidR="00B6080C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="00E3048C" w:rsidRPr="009C7F4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3048C" w:rsidRPr="009C7F43" w:rsidRDefault="00E3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080C" w:rsidRDefault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6080C" w:rsidRPr="00B6080C" w:rsidRDefault="00B6080C" w:rsidP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lastRenderedPageBreak/>
        <w:t>«Приложение № 1</w:t>
      </w:r>
    </w:p>
    <w:p w:rsidR="00B6080C" w:rsidRPr="00B6080C" w:rsidRDefault="00B6080C" w:rsidP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к государственной программе Республики Тыва</w:t>
      </w:r>
    </w:p>
    <w:p w:rsidR="00B6080C" w:rsidRPr="00B6080C" w:rsidRDefault="00B6080C" w:rsidP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«Развитие земельно-имущественных отношений</w:t>
      </w:r>
    </w:p>
    <w:p w:rsidR="00B6080C" w:rsidRPr="00B6080C" w:rsidRDefault="00B6080C" w:rsidP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на территории Республики Тыва</w:t>
      </w:r>
    </w:p>
    <w:p w:rsidR="00B6080C" w:rsidRPr="00B6080C" w:rsidRDefault="00B6080C" w:rsidP="00B6080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6080C">
        <w:rPr>
          <w:rFonts w:ascii="Times New Roman" w:hAnsi="Times New Roman" w:cs="Times New Roman"/>
          <w:sz w:val="28"/>
          <w:szCs w:val="28"/>
        </w:rPr>
        <w:t>на 2014 - 2022 годы»</w:t>
      </w:r>
    </w:p>
    <w:p w:rsidR="00B6080C" w:rsidRPr="00B6080C" w:rsidRDefault="00B6080C" w:rsidP="00B608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273"/>
      <w:bookmarkEnd w:id="1"/>
      <w:r w:rsidRPr="00B6080C">
        <w:rPr>
          <w:rFonts w:ascii="Times New Roman" w:hAnsi="Times New Roman" w:cs="Times New Roman"/>
          <w:b w:val="0"/>
          <w:sz w:val="28"/>
          <w:szCs w:val="28"/>
        </w:rPr>
        <w:t xml:space="preserve">Мероприятия государственной программы Республики Тыва </w:t>
      </w: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80C">
        <w:rPr>
          <w:rFonts w:ascii="Times New Roman" w:hAnsi="Times New Roman" w:cs="Times New Roman"/>
          <w:b w:val="0"/>
          <w:sz w:val="28"/>
          <w:szCs w:val="28"/>
        </w:rPr>
        <w:t xml:space="preserve">«Развитие земельно-имущественных отношений на территории </w:t>
      </w:r>
    </w:p>
    <w:p w:rsidR="00B6080C" w:rsidRPr="00B6080C" w:rsidRDefault="00B6080C" w:rsidP="00B608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080C">
        <w:rPr>
          <w:rFonts w:ascii="Times New Roman" w:hAnsi="Times New Roman" w:cs="Times New Roman"/>
          <w:b w:val="0"/>
          <w:sz w:val="28"/>
          <w:szCs w:val="28"/>
        </w:rPr>
        <w:t>Республики Тыва на 2014-2022 годы»</w:t>
      </w:r>
    </w:p>
    <w:p w:rsidR="00E3048C" w:rsidRPr="00B6080C" w:rsidRDefault="00E3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48C" w:rsidRDefault="00E3048C">
      <w:pPr>
        <w:sectPr w:rsidR="00E3048C" w:rsidSect="00923CDC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275"/>
        <w:gridCol w:w="851"/>
        <w:gridCol w:w="961"/>
        <w:gridCol w:w="961"/>
        <w:gridCol w:w="1126"/>
        <w:gridCol w:w="1126"/>
        <w:gridCol w:w="1126"/>
        <w:gridCol w:w="1221"/>
        <w:gridCol w:w="1155"/>
        <w:gridCol w:w="1254"/>
        <w:gridCol w:w="1134"/>
      </w:tblGrid>
      <w:tr w:rsidR="00781EF9" w:rsidRPr="00781EF9" w:rsidTr="00E73CED">
        <w:tc>
          <w:tcPr>
            <w:tcW w:w="2269" w:type="dxa"/>
            <w:vMerge w:val="restart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056" w:type="dxa"/>
            <w:gridSpan w:val="10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млн. рублей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781EF9" w:rsidRPr="00781EF9" w:rsidTr="00E73CED">
        <w:tc>
          <w:tcPr>
            <w:tcW w:w="2269" w:type="dxa"/>
            <w:vMerge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2014 - 2022 гг.</w:t>
            </w:r>
          </w:p>
        </w:tc>
        <w:tc>
          <w:tcPr>
            <w:tcW w:w="9781" w:type="dxa"/>
            <w:gridSpan w:val="9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c>
          <w:tcPr>
            <w:tcW w:w="2269" w:type="dxa"/>
            <w:vMerge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2014г.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81EF9" w:rsidRPr="00781EF9" w:rsidTr="00E73CED">
        <w:tc>
          <w:tcPr>
            <w:tcW w:w="16018" w:type="dxa"/>
            <w:gridSpan w:val="13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1. Создание необходимых условий для эффективного использования и вовлечения в хозяйственный оборот земельных участков и иной недвижимости</w:t>
            </w: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1.1. Описание границ муниципальных районов, городских округов, населенных пунктов Республики Тыва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2,0277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2,0277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2015 - 2016 гг.</w:t>
            </w:r>
          </w:p>
        </w:tc>
      </w:tr>
      <w:tr w:rsidR="00781EF9" w:rsidRPr="00781EF9" w:rsidTr="00E73CED">
        <w:tc>
          <w:tcPr>
            <w:tcW w:w="16018" w:type="dxa"/>
            <w:gridSpan w:val="13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2. Увеличение совокупных поступлений в консолидированный бюджет республики от земельного налога, доходов от аренды и продажи земельных участков</w:t>
            </w: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2.1. Организация и проведение работ по государственной кадастровой оценке земель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31,5889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0,750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4,8167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9,0158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7,6916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8,1748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2014-2022 гг.</w:t>
            </w:r>
          </w:p>
        </w:tc>
      </w:tr>
      <w:tr w:rsidR="00781EF9" w:rsidRPr="00781EF9" w:rsidTr="00E73CED">
        <w:tc>
          <w:tcPr>
            <w:tcW w:w="2269" w:type="dxa"/>
            <w:vMerge w:val="restart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 xml:space="preserve">2.2. Проведение комплексных кадастровых </w:t>
            </w: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254294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5,5869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1,9911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  <w:tc>
          <w:tcPr>
            <w:tcW w:w="1221" w:type="dxa"/>
          </w:tcPr>
          <w:p w:rsidR="00781EF9" w:rsidRPr="00781EF9" w:rsidRDefault="00254294" w:rsidP="002542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0,2166</w:t>
            </w:r>
          </w:p>
        </w:tc>
        <w:tc>
          <w:tcPr>
            <w:tcW w:w="1155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0,2152</w:t>
            </w:r>
          </w:p>
        </w:tc>
        <w:tc>
          <w:tcPr>
            <w:tcW w:w="1254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0,2140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2017 - 2022 гг.</w:t>
            </w:r>
          </w:p>
        </w:tc>
      </w:tr>
      <w:tr w:rsidR="00781EF9" w:rsidRPr="00781EF9" w:rsidTr="00E73CED">
        <w:tc>
          <w:tcPr>
            <w:tcW w:w="2269" w:type="dxa"/>
            <w:vMerge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124,1561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37,8312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15,7118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8,390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21,4400</w:t>
            </w:r>
          </w:p>
        </w:tc>
        <w:tc>
          <w:tcPr>
            <w:tcW w:w="1155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21,3095</w:t>
            </w:r>
          </w:p>
        </w:tc>
        <w:tc>
          <w:tcPr>
            <w:tcW w:w="1254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21,1908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Проведение работ по формированию и постановке на государственный кадастровый учет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1,6919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0,450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0,3839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0,4080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 xml:space="preserve">2.4. Развертывание и внедрение единой компьютерной информационной системы по учету земельных и имущественных отношений муниципальных районов и городских округов Республики </w:t>
            </w: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Тыва</w:t>
            </w: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7,8878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1,1091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1,1787</w:t>
            </w:r>
          </w:p>
        </w:tc>
        <w:tc>
          <w:tcPr>
            <w:tcW w:w="1134" w:type="dxa"/>
          </w:tcPr>
          <w:p w:rsidR="00781EF9" w:rsidRPr="00781EF9" w:rsidRDefault="00781EF9" w:rsidP="00781EF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275" w:type="dxa"/>
          </w:tcPr>
          <w:p w:rsidR="00781EF9" w:rsidRPr="00781EF9" w:rsidRDefault="00254294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48,7832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1,140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0,750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4,0188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7,0167</w:t>
            </w:r>
          </w:p>
        </w:tc>
        <w:tc>
          <w:tcPr>
            <w:tcW w:w="1221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10,9824</w:t>
            </w:r>
          </w:p>
        </w:tc>
        <w:tc>
          <w:tcPr>
            <w:tcW w:w="1155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9,3998</w:t>
            </w:r>
          </w:p>
        </w:tc>
        <w:tc>
          <w:tcPr>
            <w:tcW w:w="1254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9,9755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5" w:type="dxa"/>
          </w:tcPr>
          <w:p w:rsidR="00781EF9" w:rsidRPr="00781EF9" w:rsidRDefault="00254294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125,8733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37,8312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15,7118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8,390</w:t>
            </w:r>
          </w:p>
        </w:tc>
        <w:tc>
          <w:tcPr>
            <w:tcW w:w="1221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sz w:val="28"/>
                <w:szCs w:val="28"/>
              </w:rPr>
              <w:t>21,440</w:t>
            </w:r>
          </w:p>
        </w:tc>
        <w:tc>
          <w:tcPr>
            <w:tcW w:w="1155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21,3095</w:t>
            </w:r>
          </w:p>
        </w:tc>
        <w:tc>
          <w:tcPr>
            <w:tcW w:w="1254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21,1908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EF9" w:rsidRPr="00781EF9" w:rsidTr="00E73CED">
        <w:trPr>
          <w:trHeight w:val="437"/>
        </w:trPr>
        <w:tc>
          <w:tcPr>
            <w:tcW w:w="2269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1EF9" w:rsidRPr="00781EF9" w:rsidRDefault="00781EF9" w:rsidP="00E73CE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5" w:type="dxa"/>
          </w:tcPr>
          <w:p w:rsidR="00781EF9" w:rsidRPr="00781EF9" w:rsidRDefault="00781EF9" w:rsidP="002542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175,</w:t>
            </w:r>
            <w:r w:rsidR="00254294">
              <w:rPr>
                <w:rFonts w:ascii="Times New Roman" w:hAnsi="Times New Roman" w:cs="Times New Roman"/>
                <w:b/>
                <w:sz w:val="28"/>
                <w:szCs w:val="28"/>
              </w:rPr>
              <w:t>6565</w:t>
            </w:r>
          </w:p>
        </w:tc>
        <w:tc>
          <w:tcPr>
            <w:tcW w:w="85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1,140</w:t>
            </w:r>
          </w:p>
        </w:tc>
        <w:tc>
          <w:tcPr>
            <w:tcW w:w="961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0,750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41,850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21,2118</w:t>
            </w:r>
          </w:p>
        </w:tc>
        <w:tc>
          <w:tcPr>
            <w:tcW w:w="1126" w:type="dxa"/>
          </w:tcPr>
          <w:p w:rsidR="00781EF9" w:rsidRPr="00781EF9" w:rsidRDefault="00781EF9" w:rsidP="00E73C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15,4067</w:t>
            </w:r>
          </w:p>
        </w:tc>
        <w:tc>
          <w:tcPr>
            <w:tcW w:w="1221" w:type="dxa"/>
          </w:tcPr>
          <w:p w:rsidR="00781EF9" w:rsidRPr="00781EF9" w:rsidRDefault="00254294" w:rsidP="00E73C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32,4224</w:t>
            </w:r>
          </w:p>
        </w:tc>
        <w:tc>
          <w:tcPr>
            <w:tcW w:w="1155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30,7093</w:t>
            </w:r>
          </w:p>
        </w:tc>
        <w:tc>
          <w:tcPr>
            <w:tcW w:w="125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1EF9">
              <w:rPr>
                <w:rFonts w:ascii="Times New Roman" w:hAnsi="Times New Roman" w:cs="Times New Roman"/>
                <w:b/>
                <w:sz w:val="28"/>
                <w:szCs w:val="28"/>
              </w:rPr>
              <w:t>31,1663</w:t>
            </w:r>
          </w:p>
        </w:tc>
        <w:tc>
          <w:tcPr>
            <w:tcW w:w="1134" w:type="dxa"/>
          </w:tcPr>
          <w:p w:rsidR="00781EF9" w:rsidRPr="00781EF9" w:rsidRDefault="00781EF9" w:rsidP="00E73C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F43" w:rsidRPr="009C7F43" w:rsidRDefault="00247447" w:rsidP="00247447">
      <w:pPr>
        <w:jc w:val="right"/>
      </w:pPr>
      <w:r>
        <w:t>;</w:t>
      </w:r>
    </w:p>
    <w:p w:rsidR="009C7F43" w:rsidRPr="009C7F43" w:rsidRDefault="009C7F43" w:rsidP="009C7F43"/>
    <w:p w:rsidR="009C7F43" w:rsidRPr="009C7F43" w:rsidRDefault="009C7F43" w:rsidP="009C7F43"/>
    <w:p w:rsidR="009C7F43" w:rsidRDefault="009C7F43" w:rsidP="009C7F43"/>
    <w:p w:rsidR="00E3048C" w:rsidRDefault="009C7F43" w:rsidP="009C7F43">
      <w:pPr>
        <w:tabs>
          <w:tab w:val="left" w:pos="13380"/>
        </w:tabs>
      </w:pPr>
      <w:r>
        <w:tab/>
      </w:r>
    </w:p>
    <w:p w:rsidR="00E3048C" w:rsidRDefault="00E3048C">
      <w:pPr>
        <w:pStyle w:val="ConsPlusNormal"/>
        <w:jc w:val="both"/>
      </w:pPr>
    </w:p>
    <w:p w:rsidR="00E3048C" w:rsidRDefault="00E3048C">
      <w:pPr>
        <w:pStyle w:val="ConsPlusNormal"/>
        <w:jc w:val="both"/>
      </w:pPr>
    </w:p>
    <w:p w:rsidR="009C7F43" w:rsidRDefault="009C7F43">
      <w:pPr>
        <w:pStyle w:val="ConsPlusNormal"/>
        <w:ind w:firstLine="540"/>
        <w:jc w:val="both"/>
      </w:pPr>
    </w:p>
    <w:p w:rsidR="009C7F43" w:rsidRDefault="009C7F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9C7F43" w:rsidSect="00247447">
          <w:pgSz w:w="16838" w:h="11905" w:orient="landscape"/>
          <w:pgMar w:top="1276" w:right="395" w:bottom="850" w:left="1134" w:header="0" w:footer="0" w:gutter="0"/>
          <w:cols w:space="720"/>
        </w:sectPr>
      </w:pPr>
    </w:p>
    <w:p w:rsidR="00E3048C" w:rsidRPr="009C7F43" w:rsidRDefault="004E32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E3048C" w:rsidRPr="009C7F43">
        <w:rPr>
          <w:rFonts w:ascii="Times New Roman" w:hAnsi="Times New Roman" w:cs="Times New Roman"/>
          <w:sz w:val="28"/>
          <w:szCs w:val="28"/>
        </w:rPr>
        <w:t>. Разместить настоящее постановление на официальном интернет-портале правовой информации (www.pravo.gov.ru) и официальном сайте Республики Тыва в информационно-телекоммуникационной сети "Интернет".</w:t>
      </w:r>
    </w:p>
    <w:p w:rsidR="00E3048C" w:rsidRPr="009C7F43" w:rsidRDefault="00E3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701" w:rsidRDefault="00265701" w:rsidP="00265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65701" w:rsidRPr="00265701" w:rsidRDefault="00265701" w:rsidP="00265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265701">
        <w:rPr>
          <w:rFonts w:ascii="Times New Roman" w:hAnsi="Times New Roman" w:cs="Times New Roman"/>
          <w:b w:val="0"/>
          <w:sz w:val="28"/>
          <w:szCs w:val="28"/>
        </w:rPr>
        <w:t>Глава Республики Тыва</w:t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r w:rsidRPr="00265701">
        <w:rPr>
          <w:rFonts w:ascii="Times New Roman" w:hAnsi="Times New Roman" w:cs="Times New Roman"/>
          <w:b w:val="0"/>
          <w:sz w:val="28"/>
          <w:szCs w:val="28"/>
        </w:rPr>
        <w:tab/>
      </w:r>
      <w:proofErr w:type="spellStart"/>
      <w:r w:rsidRPr="00265701">
        <w:rPr>
          <w:rFonts w:ascii="Times New Roman" w:hAnsi="Times New Roman" w:cs="Times New Roman"/>
          <w:b w:val="0"/>
          <w:sz w:val="28"/>
          <w:szCs w:val="28"/>
        </w:rPr>
        <w:t>Ш.В.Кара-оол</w:t>
      </w:r>
      <w:proofErr w:type="spellEnd"/>
    </w:p>
    <w:p w:rsidR="00E3048C" w:rsidRPr="009C7F43" w:rsidRDefault="00E3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048C" w:rsidRPr="009C7F43" w:rsidRDefault="00E304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F43" w:rsidRDefault="009C7F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  <w:sectPr w:rsidR="009C7F43" w:rsidSect="00247447">
          <w:pgSz w:w="11905" w:h="16838"/>
          <w:pgMar w:top="1134" w:right="706" w:bottom="1134" w:left="1134" w:header="0" w:footer="0" w:gutter="0"/>
          <w:cols w:space="720"/>
        </w:sectPr>
      </w:pPr>
    </w:p>
    <w:p w:rsidR="00E3048C" w:rsidRDefault="00E304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0CDF" w:rsidRDefault="00990CDF"/>
    <w:sectPr w:rsidR="00990CDF" w:rsidSect="003E640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8C"/>
    <w:rsid w:val="00247447"/>
    <w:rsid w:val="00254294"/>
    <w:rsid w:val="00265701"/>
    <w:rsid w:val="00435A36"/>
    <w:rsid w:val="004E325F"/>
    <w:rsid w:val="006A3FEB"/>
    <w:rsid w:val="00781EF9"/>
    <w:rsid w:val="007E34A2"/>
    <w:rsid w:val="00923CDC"/>
    <w:rsid w:val="00990CDF"/>
    <w:rsid w:val="009B4722"/>
    <w:rsid w:val="009C7F43"/>
    <w:rsid w:val="00A74651"/>
    <w:rsid w:val="00B6080C"/>
    <w:rsid w:val="00C32BAA"/>
    <w:rsid w:val="00D178F3"/>
    <w:rsid w:val="00E3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0D75"/>
  <w15:chartTrackingRefBased/>
  <w15:docId w15:val="{D090E64C-B13F-497B-A5D6-2206BCC5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23CDC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0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304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304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04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C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781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4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4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7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4AC70E72F33ACD7EB0588FF1D41E7CFBB90C819DE6A068B2BF7B133A5B9152A3658D4FA4F7686EB356312O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F4AC70E72F33ACD7EB0588FF1D41E7CFBB90C819DE6A068B2BF7B133A5B9152A3658D4FA4F7686EB356912O0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F4AC70E72F33ACD7EB0588FF1D41E7CFBB90C819DE6A068B2BF7B133A5B9152A3658D4FA4F7686EB356312O0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8F4AC70E72F33ACD7EB0588FF1D41E7CFBB90C819DE6A068B2BF7B133A5B9152A3658D4FA4F7686EB356312O6F" TargetMode="External"/><Relationship Id="rId10" Type="http://schemas.openxmlformats.org/officeDocument/2006/relationships/hyperlink" Target="consultantplus://offline/ref=9C803AFCB36E731CA80F86B73D8CD09098D90E4C9E7A889579B294DD2EFFD2C891D0CA322B26FE624119EEC12095BA3F48749DFC288D09875087A9T3p5C" TargetMode="External"/><Relationship Id="rId4" Type="http://schemas.openxmlformats.org/officeDocument/2006/relationships/hyperlink" Target="consultantplus://offline/ref=68F4AC70E72F33ACD7EB0588FF1D41E7CFBB90C819DE6A068B2BF7B133A5B9152A3658D4FA4F7686EB356012ODF" TargetMode="External"/><Relationship Id="rId9" Type="http://schemas.openxmlformats.org/officeDocument/2006/relationships/hyperlink" Target="consultantplus://offline/ref=68F4AC70E72F33ACD7EB0588FF1D41E7CFBB90C819DE6A068B2BF7B133A5B9152A3658D4FA4F7686EB356312O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2020-04-23T04:49:00Z</cp:lastPrinted>
  <dcterms:created xsi:type="dcterms:W3CDTF">2020-03-31T02:41:00Z</dcterms:created>
  <dcterms:modified xsi:type="dcterms:W3CDTF">2020-04-23T04:53:00Z</dcterms:modified>
</cp:coreProperties>
</file>